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F1B6C" w14:textId="77777777" w:rsidR="007B2122" w:rsidRDefault="00851BD2">
      <w:pPr>
        <w:spacing w:after="113" w:line="259" w:lineRule="auto"/>
        <w:ind w:left="18" w:firstLine="0"/>
        <w:jc w:val="left"/>
      </w:pPr>
      <w:r>
        <w:rPr>
          <w:sz w:val="22"/>
        </w:rPr>
        <w:t xml:space="preserve"> </w:t>
      </w:r>
    </w:p>
    <w:p w14:paraId="0E1BE7F6" w14:textId="37CBB219" w:rsidR="007B2122" w:rsidRDefault="00851BD2">
      <w:pPr>
        <w:tabs>
          <w:tab w:val="center" w:pos="5099"/>
          <w:tab w:val="right" w:pos="10488"/>
        </w:tabs>
        <w:spacing w:after="193" w:line="259" w:lineRule="auto"/>
        <w:ind w:left="0" w:firstLine="0"/>
        <w:jc w:val="left"/>
      </w:pPr>
      <w:r>
        <w:rPr>
          <w:sz w:val="21"/>
        </w:rPr>
        <w:t>IES DOS MARES</w:t>
      </w:r>
      <w:r>
        <w:t xml:space="preserve"> </w:t>
      </w:r>
      <w:r>
        <w:tab/>
      </w:r>
      <w:r>
        <w:rPr>
          <w:sz w:val="21"/>
        </w:rPr>
        <w:t>DEPARTAMENTO DE MATEMÁTICAS</w:t>
      </w:r>
      <w:r>
        <w:t xml:space="preserve"> </w:t>
      </w:r>
      <w:r>
        <w:tab/>
      </w:r>
      <w:r>
        <w:rPr>
          <w:sz w:val="21"/>
        </w:rPr>
        <w:t>CURSO 2021-2022</w:t>
      </w:r>
      <w:r>
        <w:t xml:space="preserve"> </w:t>
      </w:r>
    </w:p>
    <w:p w14:paraId="5F9E873B" w14:textId="77777777" w:rsidR="007B2122" w:rsidRDefault="00851BD2">
      <w:pPr>
        <w:pStyle w:val="Ttulo1"/>
        <w:tabs>
          <w:tab w:val="center" w:pos="3941"/>
          <w:tab w:val="center" w:pos="9171"/>
        </w:tabs>
        <w:ind w:left="0"/>
      </w:pPr>
      <w:r>
        <w:rPr>
          <w:rFonts w:ascii="Calibri" w:eastAsia="Calibri" w:hAnsi="Calibri" w:cs="Calibri"/>
          <w:sz w:val="22"/>
        </w:rPr>
        <w:tab/>
      </w:r>
      <w:r>
        <w:t xml:space="preserve">EVALUACIÓN Y CALIFICACIÓN DE MATEMÁTICAS APLICADAS A LAS CCSS I </w:t>
      </w:r>
      <w:r>
        <w:tab/>
        <w:t xml:space="preserve">1º BACHILLERATO </w:t>
      </w:r>
    </w:p>
    <w:p w14:paraId="5FB6CB7B" w14:textId="77777777" w:rsidR="007B2122" w:rsidRDefault="00851BD2">
      <w:pPr>
        <w:spacing w:after="42" w:line="259" w:lineRule="auto"/>
        <w:ind w:left="-97" w:firstLine="0"/>
        <w:jc w:val="left"/>
      </w:pPr>
      <w:r>
        <w:rPr>
          <w:rFonts w:ascii="Calibri" w:eastAsia="Calibri" w:hAnsi="Calibri" w:cs="Calibri"/>
          <w:noProof/>
          <w:sz w:val="22"/>
        </w:rPr>
        <mc:AlternateContent>
          <mc:Choice Requires="wpg">
            <w:drawing>
              <wp:inline distT="0" distB="0" distL="0" distR="0" wp14:anchorId="61B83B7B" wp14:editId="73CEBBA4">
                <wp:extent cx="6649213" cy="27432"/>
                <wp:effectExtent l="0" t="0" r="0" b="0"/>
                <wp:docPr id="4114" name="Group 4114"/>
                <wp:cNvGraphicFramePr/>
                <a:graphic xmlns:a="http://schemas.openxmlformats.org/drawingml/2006/main">
                  <a:graphicData uri="http://schemas.microsoft.com/office/word/2010/wordprocessingGroup">
                    <wpg:wgp>
                      <wpg:cNvGrpSpPr/>
                      <wpg:grpSpPr>
                        <a:xfrm>
                          <a:off x="0" y="0"/>
                          <a:ext cx="6649213" cy="27432"/>
                          <a:chOff x="0" y="0"/>
                          <a:chExt cx="6649213" cy="27432"/>
                        </a:xfrm>
                      </wpg:grpSpPr>
                      <wps:wsp>
                        <wps:cNvPr id="4401" name="Shape 4401"/>
                        <wps:cNvSpPr/>
                        <wps:spPr>
                          <a:xfrm>
                            <a:off x="0" y="0"/>
                            <a:ext cx="5140452" cy="27432"/>
                          </a:xfrm>
                          <a:custGeom>
                            <a:avLst/>
                            <a:gdLst/>
                            <a:ahLst/>
                            <a:cxnLst/>
                            <a:rect l="0" t="0" r="0" b="0"/>
                            <a:pathLst>
                              <a:path w="5140452" h="27432">
                                <a:moveTo>
                                  <a:pt x="0" y="0"/>
                                </a:moveTo>
                                <a:lnTo>
                                  <a:pt x="5140452" y="0"/>
                                </a:lnTo>
                                <a:lnTo>
                                  <a:pt x="514045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02" name="Shape 4402"/>
                        <wps:cNvSpPr/>
                        <wps:spPr>
                          <a:xfrm>
                            <a:off x="5140452" y="0"/>
                            <a:ext cx="1508761" cy="27432"/>
                          </a:xfrm>
                          <a:custGeom>
                            <a:avLst/>
                            <a:gdLst/>
                            <a:ahLst/>
                            <a:cxnLst/>
                            <a:rect l="0" t="0" r="0" b="0"/>
                            <a:pathLst>
                              <a:path w="1508761" h="27432">
                                <a:moveTo>
                                  <a:pt x="0" y="0"/>
                                </a:moveTo>
                                <a:lnTo>
                                  <a:pt x="1508761" y="0"/>
                                </a:lnTo>
                                <a:lnTo>
                                  <a:pt x="1508761"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114" style="width:523.56pt;height:2.16pt;mso-position-horizontal-relative:char;mso-position-vertical-relative:line" coordsize="66492,274">
                <v:shape id="Shape 4403" style="position:absolute;width:51404;height:274;left:0;top:0;" coordsize="5140452,27432" path="m0,0l5140452,0l5140452,27432l0,27432l0,0">
                  <v:stroke weight="0pt" endcap="flat" joinstyle="miter" miterlimit="10" on="false" color="#000000" opacity="0"/>
                  <v:fill on="true" color="#000000"/>
                </v:shape>
                <v:shape id="Shape 4404" style="position:absolute;width:15087;height:274;left:51404;top:0;" coordsize="1508761,27432" path="m0,0l1508761,0l1508761,27432l0,27432l0,0">
                  <v:stroke weight="0pt" endcap="flat" joinstyle="miter" miterlimit="10" on="false" color="#000000" opacity="0"/>
                  <v:fill on="true" color="#000000"/>
                </v:shape>
              </v:group>
            </w:pict>
          </mc:Fallback>
        </mc:AlternateContent>
      </w:r>
    </w:p>
    <w:p w14:paraId="02A920DA" w14:textId="77777777" w:rsidR="007B2122" w:rsidRDefault="00851BD2">
      <w:pPr>
        <w:spacing w:after="0" w:line="259" w:lineRule="auto"/>
        <w:ind w:left="18" w:firstLine="0"/>
        <w:jc w:val="left"/>
      </w:pPr>
      <w:r>
        <w:t xml:space="preserve"> </w:t>
      </w:r>
    </w:p>
    <w:p w14:paraId="2D5E05A4" w14:textId="77777777" w:rsidR="007B2122" w:rsidRDefault="00851BD2">
      <w:pPr>
        <w:ind w:left="13" w:right="-11"/>
      </w:pPr>
      <w:r>
        <w:t xml:space="preserve">Los CONTENIDOS de asignatura de Matemáticas Aplicadas a las Ciencias Sociales I durante el primer curso de Bachillerato se estructuran en cuatro bloques fundamentales:   </w:t>
      </w:r>
    </w:p>
    <w:p w14:paraId="0B0B3223" w14:textId="77777777" w:rsidR="007B2122" w:rsidRDefault="00851BD2">
      <w:pPr>
        <w:ind w:left="736" w:right="-11"/>
      </w:pPr>
      <w:r>
        <w:t xml:space="preserve">Bloque 1: Procesos, métodos y actitudes en matemáticas. Se desarrollará de forma simultánea al resto de bloques de contenido y es el eje fundamental de la asignatura; se articula sobre procesos básicos e imprescindibles en el quehacer matemático tales como la resolución de problemas, proyectos de investigación matemática, la modelización matemática, las actitudes adecuadas para desarrollar el trabajo científico y la utilización de medios tecnológicos.   </w:t>
      </w:r>
    </w:p>
    <w:p w14:paraId="478F0CC1" w14:textId="77777777" w:rsidR="007B2122" w:rsidRDefault="00851BD2">
      <w:pPr>
        <w:ind w:left="736" w:right="-11"/>
      </w:pPr>
      <w:r>
        <w:t xml:space="preserve">Bloque 2: Números y álgebra. Posee carácter instrumental para el desarrollo de los contenidos del resto de los bloques, en el sentido de proporcionar al alumno las herramientas necesarias que le permita resolver problemas específicos de las Ciencias Sociales.   </w:t>
      </w:r>
    </w:p>
    <w:p w14:paraId="55E9301D" w14:textId="77777777" w:rsidR="007B2122" w:rsidRDefault="00851BD2">
      <w:pPr>
        <w:ind w:left="736" w:right="-11"/>
      </w:pPr>
      <w:r>
        <w:t xml:space="preserve">Bloque 3: Análisis. En él se tratan las propiedades más relevantes de las funciones y la interpretación de gráficas. Pretende dotar al alumnado de un conjunto de procedimientos matemáticos suficientes que le permita investigar, describir, interpretar, comprender y reflexionar sobre los modelos que se aplican en las Ciencias Sociales.   </w:t>
      </w:r>
    </w:p>
    <w:p w14:paraId="6DE7A6DE" w14:textId="77777777" w:rsidR="007B2122" w:rsidRDefault="00851BD2">
      <w:pPr>
        <w:ind w:left="736" w:right="-11"/>
      </w:pPr>
      <w:r>
        <w:t xml:space="preserve">Bloque 4: Estadística y probabilidad. Se estudiará la estadística como herramienta de representación y descripción de fenómenos reales, así como los fenómenos aleatorios y su aplicación. Persigue ayudar a que el alumnado logre analizar e interpretar de forma crítica los estudios y encuestas de opinión y su aplicación a las ciencias sociales. </w:t>
      </w:r>
    </w:p>
    <w:p w14:paraId="6AF986C9" w14:textId="77777777" w:rsidR="007B2122" w:rsidRDefault="00851BD2">
      <w:pPr>
        <w:spacing w:after="9"/>
        <w:ind w:left="13" w:right="-11"/>
      </w:pPr>
      <w:r>
        <w:t xml:space="preserve">Los referentes específicos para evaluar el aprendizaje de los alumnos en la materia, esto es, los CRITERIOS DE EVALUACIÓN quedan distribuidos como sigue: </w:t>
      </w:r>
    </w:p>
    <w:tbl>
      <w:tblPr>
        <w:tblStyle w:val="TableGrid"/>
        <w:tblW w:w="10596" w:type="dxa"/>
        <w:tblInd w:w="-81" w:type="dxa"/>
        <w:tblCellMar>
          <w:top w:w="42" w:type="dxa"/>
          <w:left w:w="100" w:type="dxa"/>
          <w:right w:w="54" w:type="dxa"/>
        </w:tblCellMar>
        <w:tblLook w:val="04A0" w:firstRow="1" w:lastRow="0" w:firstColumn="1" w:lastColumn="0" w:noHBand="0" w:noVBand="1"/>
      </w:tblPr>
      <w:tblGrid>
        <w:gridCol w:w="10596"/>
      </w:tblGrid>
      <w:tr w:rsidR="007B2122" w14:paraId="0D96F376" w14:textId="77777777">
        <w:trPr>
          <w:trHeight w:val="214"/>
        </w:trPr>
        <w:tc>
          <w:tcPr>
            <w:tcW w:w="10596" w:type="dxa"/>
            <w:tcBorders>
              <w:top w:val="single" w:sz="4" w:space="0" w:color="000000"/>
              <w:left w:val="single" w:sz="4" w:space="0" w:color="000000"/>
              <w:bottom w:val="single" w:sz="4" w:space="0" w:color="000000"/>
              <w:right w:val="single" w:sz="4" w:space="0" w:color="000000"/>
            </w:tcBorders>
            <w:shd w:val="clear" w:color="auto" w:fill="BFBFBF"/>
          </w:tcPr>
          <w:p w14:paraId="01B4BBD8" w14:textId="77777777" w:rsidR="007B2122" w:rsidRDefault="00851BD2">
            <w:pPr>
              <w:spacing w:after="0" w:line="259" w:lineRule="auto"/>
              <w:ind w:left="0" w:right="49" w:firstLine="0"/>
              <w:jc w:val="center"/>
            </w:pPr>
            <w:r>
              <w:rPr>
                <w:sz w:val="18"/>
              </w:rPr>
              <w:t xml:space="preserve">Bloque 1: Procesos, métodos y actitudes en matemáticas. </w:t>
            </w:r>
          </w:p>
        </w:tc>
      </w:tr>
      <w:tr w:rsidR="007B2122" w14:paraId="62229790" w14:textId="77777777">
        <w:trPr>
          <w:trHeight w:val="217"/>
        </w:trPr>
        <w:tc>
          <w:tcPr>
            <w:tcW w:w="10596" w:type="dxa"/>
            <w:tcBorders>
              <w:top w:val="single" w:sz="4" w:space="0" w:color="000000"/>
              <w:left w:val="single" w:sz="4" w:space="0" w:color="000000"/>
              <w:bottom w:val="single" w:sz="4" w:space="0" w:color="000000"/>
              <w:right w:val="single" w:sz="4" w:space="0" w:color="000000"/>
            </w:tcBorders>
          </w:tcPr>
          <w:p w14:paraId="7306ACDD" w14:textId="77777777" w:rsidR="007B2122" w:rsidRDefault="00851BD2">
            <w:pPr>
              <w:spacing w:after="0" w:line="259" w:lineRule="auto"/>
              <w:ind w:left="0" w:firstLine="0"/>
              <w:jc w:val="left"/>
            </w:pPr>
            <w:r>
              <w:rPr>
                <w:sz w:val="18"/>
              </w:rPr>
              <w:t xml:space="preserve">CRITERIOS DE EVALUACIÓN </w:t>
            </w:r>
          </w:p>
        </w:tc>
      </w:tr>
      <w:tr w:rsidR="007B2122" w14:paraId="6B85BF94" w14:textId="77777777">
        <w:trPr>
          <w:trHeight w:val="4991"/>
        </w:trPr>
        <w:tc>
          <w:tcPr>
            <w:tcW w:w="10596" w:type="dxa"/>
            <w:tcBorders>
              <w:top w:val="single" w:sz="4" w:space="0" w:color="000000"/>
              <w:left w:val="single" w:sz="4" w:space="0" w:color="000000"/>
              <w:bottom w:val="single" w:sz="4" w:space="0" w:color="000000"/>
              <w:right w:val="single" w:sz="4" w:space="0" w:color="000000"/>
            </w:tcBorders>
          </w:tcPr>
          <w:p w14:paraId="641D6420" w14:textId="77777777" w:rsidR="007B2122" w:rsidRDefault="00851BD2">
            <w:pPr>
              <w:tabs>
                <w:tab w:val="center" w:pos="3774"/>
              </w:tabs>
              <w:spacing w:after="0" w:line="259" w:lineRule="auto"/>
              <w:ind w:left="0" w:firstLine="0"/>
              <w:jc w:val="left"/>
            </w:pPr>
            <w:r>
              <w:rPr>
                <w:sz w:val="18"/>
              </w:rPr>
              <w:t xml:space="preserve">− </w:t>
            </w:r>
            <w:r>
              <w:rPr>
                <w:sz w:val="18"/>
              </w:rPr>
              <w:tab/>
              <w:t xml:space="preserve">Expresar verbalmente, de forma razonada, el proceso seguido en la resolución de un problema.  </w:t>
            </w:r>
          </w:p>
          <w:p w14:paraId="56970048" w14:textId="77777777" w:rsidR="007B2122" w:rsidRDefault="00851BD2">
            <w:pPr>
              <w:spacing w:after="3" w:line="252" w:lineRule="auto"/>
              <w:ind w:left="360" w:hanging="360"/>
            </w:pPr>
            <w:r>
              <w:rPr>
                <w:sz w:val="18"/>
              </w:rPr>
              <w:t xml:space="preserve">− Utilizar procesos de razonamiento y estrategias de resolución de problemas, realizando los cálculos necesarios y comprobando las soluciones obtenidas.  </w:t>
            </w:r>
          </w:p>
          <w:p w14:paraId="79F2B021" w14:textId="77777777" w:rsidR="007B2122" w:rsidRDefault="00851BD2">
            <w:pPr>
              <w:spacing w:after="3" w:line="252" w:lineRule="auto"/>
              <w:ind w:left="360" w:hanging="360"/>
            </w:pPr>
            <w:r>
              <w:rPr>
                <w:sz w:val="18"/>
              </w:rPr>
              <w:t xml:space="preserve">− Elaborar un informe científico escrito que sirva para comunicar las ideas matemáticas surgidas en la resolución de un problema, con el rigor y la precisión adecuados.  </w:t>
            </w:r>
          </w:p>
          <w:p w14:paraId="6E5BEA5B" w14:textId="77777777" w:rsidR="007B2122" w:rsidRDefault="00851BD2">
            <w:pPr>
              <w:spacing w:after="8"/>
              <w:ind w:left="360" w:hanging="360"/>
            </w:pPr>
            <w:r>
              <w:rPr>
                <w:sz w:val="18"/>
              </w:rPr>
              <w:t xml:space="preserve">− Planificar adecuadamente el proceso de investigación, teniendo en cuenta el contexto en que se desarrolla y el problema de investigación planteado.  </w:t>
            </w:r>
          </w:p>
          <w:p w14:paraId="573A9560" w14:textId="77777777" w:rsidR="007B2122" w:rsidRDefault="00851BD2">
            <w:pPr>
              <w:spacing w:after="29" w:line="243" w:lineRule="auto"/>
              <w:ind w:left="360" w:right="44" w:hanging="360"/>
            </w:pPr>
            <w:r>
              <w:rPr>
                <w:sz w:val="18"/>
              </w:rPr>
              <w:t xml:space="preserve">− Practicar estrategias para la generación de investigaciones matemáticas, a partir de: a) la resolución de un problema y la profundización posterior; b) la generalización de propiedades y leyes matemáticas; c) Profundización en algún momento de la historia de las matemáticas; concretando todo ello en contextos numéricos, algebraicos, geométricos, funcionales, estadísticos o probabilísticos.  </w:t>
            </w:r>
          </w:p>
          <w:p w14:paraId="7D816880" w14:textId="77777777" w:rsidR="007B2122" w:rsidRDefault="00851BD2">
            <w:pPr>
              <w:tabs>
                <w:tab w:val="center" w:pos="4849"/>
              </w:tabs>
              <w:spacing w:after="0" w:line="259" w:lineRule="auto"/>
              <w:ind w:left="0" w:firstLine="0"/>
              <w:jc w:val="left"/>
            </w:pPr>
            <w:r>
              <w:rPr>
                <w:sz w:val="18"/>
              </w:rPr>
              <w:t xml:space="preserve">− </w:t>
            </w:r>
            <w:r>
              <w:rPr>
                <w:sz w:val="18"/>
              </w:rPr>
              <w:tab/>
              <w:t xml:space="preserve">Elaborar un informe científico escrito que recoja el proceso de investigación realizado, con el rigor y la precisión adecuados. </w:t>
            </w:r>
          </w:p>
          <w:p w14:paraId="6892F487" w14:textId="77777777" w:rsidR="007B2122" w:rsidRDefault="00851BD2">
            <w:pPr>
              <w:spacing w:after="19" w:line="252" w:lineRule="auto"/>
              <w:ind w:left="360" w:hanging="360"/>
            </w:pPr>
            <w:r>
              <w:rPr>
                <w:sz w:val="18"/>
              </w:rPr>
              <w:t xml:space="preserve">− Desarrollar procesos de matematización en contextos de la realidad cotidiana (numéricos, geométricos, funcionales, estadísticos o probabilísticos) a partir de la identificación de problemas en situaciones problemáticas de la realidad.  </w:t>
            </w:r>
          </w:p>
          <w:p w14:paraId="68BBCCF6" w14:textId="77777777" w:rsidR="007B2122" w:rsidRDefault="00851BD2">
            <w:pPr>
              <w:spacing w:after="14" w:line="257" w:lineRule="auto"/>
              <w:ind w:left="360" w:hanging="360"/>
              <w:jc w:val="left"/>
            </w:pPr>
            <w:r>
              <w:rPr>
                <w:sz w:val="18"/>
              </w:rPr>
              <w:t xml:space="preserve">− </w:t>
            </w:r>
            <w:r>
              <w:rPr>
                <w:sz w:val="18"/>
              </w:rPr>
              <w:tab/>
              <w:t xml:space="preserve">Valorar la modelización matemática como un recurso para resolver problemas de la realidad cotidiana, evaluando la eficacia y limitaciones de los modelos utilizados o construidos.  </w:t>
            </w:r>
          </w:p>
          <w:p w14:paraId="07B2E51E" w14:textId="77777777" w:rsidR="007B2122" w:rsidRDefault="00851BD2">
            <w:pPr>
              <w:tabs>
                <w:tab w:val="center" w:pos="3289"/>
              </w:tabs>
              <w:spacing w:after="12" w:line="259" w:lineRule="auto"/>
              <w:ind w:left="0" w:firstLine="0"/>
              <w:jc w:val="left"/>
            </w:pPr>
            <w:r>
              <w:rPr>
                <w:sz w:val="18"/>
              </w:rPr>
              <w:t xml:space="preserve">− </w:t>
            </w:r>
            <w:r>
              <w:rPr>
                <w:sz w:val="18"/>
              </w:rPr>
              <w:tab/>
              <w:t xml:space="preserve">Desarrollar y cultivar las actitudes personales inherentes al quehacer matemático.  </w:t>
            </w:r>
          </w:p>
          <w:p w14:paraId="750C6B04" w14:textId="77777777" w:rsidR="007B2122" w:rsidRDefault="00851BD2">
            <w:pPr>
              <w:tabs>
                <w:tab w:val="center" w:pos="3280"/>
              </w:tabs>
              <w:spacing w:after="15" w:line="259" w:lineRule="auto"/>
              <w:ind w:left="0" w:firstLine="0"/>
              <w:jc w:val="left"/>
            </w:pPr>
            <w:r>
              <w:rPr>
                <w:sz w:val="18"/>
              </w:rPr>
              <w:t xml:space="preserve">− </w:t>
            </w:r>
            <w:r>
              <w:rPr>
                <w:sz w:val="18"/>
              </w:rPr>
              <w:tab/>
              <w:t xml:space="preserve">Superar bloqueos e inseguridades ante la resolución de situaciones desconocidas.  </w:t>
            </w:r>
          </w:p>
          <w:p w14:paraId="78725E5A" w14:textId="77777777" w:rsidR="007B2122" w:rsidRDefault="00851BD2">
            <w:pPr>
              <w:tabs>
                <w:tab w:val="center" w:pos="4697"/>
              </w:tabs>
              <w:spacing w:after="0" w:line="259" w:lineRule="auto"/>
              <w:ind w:left="0" w:firstLine="0"/>
              <w:jc w:val="left"/>
            </w:pPr>
            <w:r>
              <w:rPr>
                <w:sz w:val="18"/>
              </w:rPr>
              <w:t xml:space="preserve">− </w:t>
            </w:r>
            <w:r>
              <w:rPr>
                <w:sz w:val="18"/>
              </w:rPr>
              <w:tab/>
              <w:t xml:space="preserve">Reflexionar sobre las decisiones tomadas, valorando su eficacia y aprendiendo de ello para situaciones similares futuras. </w:t>
            </w:r>
          </w:p>
          <w:p w14:paraId="569AA418" w14:textId="77777777" w:rsidR="007B2122" w:rsidRDefault="00851BD2">
            <w:pPr>
              <w:spacing w:after="13" w:line="243" w:lineRule="auto"/>
              <w:ind w:left="360" w:right="44" w:hanging="360"/>
            </w:pPr>
            <w:r>
              <w:rPr>
                <w:sz w:val="18"/>
              </w:rPr>
              <w:t xml:space="preserve">− Emplear las herramientas tecnológicas adecuadas, de forma autónoma, realizando cálculos numéricos, algebraicos o estadísticos, haciendo representaciones gráficas, recreando situaciones matemáticas mediante simulaciones o analizando con sentido crítico situaciones diversas que ayuden a la comprensión de conceptos matemáticos o a la resolución de problemas. </w:t>
            </w:r>
          </w:p>
          <w:p w14:paraId="0596213C" w14:textId="77777777" w:rsidR="007B2122" w:rsidRDefault="00851BD2">
            <w:pPr>
              <w:spacing w:after="0" w:line="259" w:lineRule="auto"/>
              <w:ind w:left="360" w:right="43" w:hanging="360"/>
            </w:pPr>
            <w:r>
              <w:rPr>
                <w:sz w:val="18"/>
              </w:rPr>
              <w:t xml:space="preserve">− Utilizar las tecnologías de la información y la comunicación de modo habitual en el proceso de aprendizaje, buscando, analizando y seleccionando información relevante en Internet o en otras fuentes, elaborando documentos propios, haciendo exposiciones y argumentaciones de los mismos y compartiendo éstos en entornos apropiados para facilitar la interacción.  </w:t>
            </w:r>
          </w:p>
        </w:tc>
      </w:tr>
      <w:tr w:rsidR="007B2122" w14:paraId="59379CA7" w14:textId="77777777">
        <w:trPr>
          <w:trHeight w:val="214"/>
        </w:trPr>
        <w:tc>
          <w:tcPr>
            <w:tcW w:w="10596" w:type="dxa"/>
            <w:tcBorders>
              <w:top w:val="single" w:sz="4" w:space="0" w:color="000000"/>
              <w:left w:val="single" w:sz="4" w:space="0" w:color="000000"/>
              <w:bottom w:val="single" w:sz="4" w:space="0" w:color="000000"/>
              <w:right w:val="single" w:sz="4" w:space="0" w:color="000000"/>
            </w:tcBorders>
            <w:shd w:val="clear" w:color="auto" w:fill="BFBFBF"/>
          </w:tcPr>
          <w:p w14:paraId="0513873B" w14:textId="77777777" w:rsidR="007B2122" w:rsidRDefault="00851BD2">
            <w:pPr>
              <w:spacing w:after="0" w:line="259" w:lineRule="auto"/>
              <w:ind w:left="0" w:right="50" w:firstLine="0"/>
              <w:jc w:val="center"/>
            </w:pPr>
            <w:r>
              <w:rPr>
                <w:sz w:val="18"/>
              </w:rPr>
              <w:t xml:space="preserve">Bloque 2: Números y álgebra </w:t>
            </w:r>
          </w:p>
        </w:tc>
      </w:tr>
      <w:tr w:rsidR="007B2122" w14:paraId="16BE7FFA" w14:textId="77777777">
        <w:trPr>
          <w:trHeight w:val="220"/>
        </w:trPr>
        <w:tc>
          <w:tcPr>
            <w:tcW w:w="10596" w:type="dxa"/>
            <w:tcBorders>
              <w:top w:val="single" w:sz="4" w:space="0" w:color="000000"/>
              <w:left w:val="single" w:sz="4" w:space="0" w:color="000000"/>
              <w:bottom w:val="single" w:sz="4" w:space="0" w:color="000000"/>
              <w:right w:val="single" w:sz="4" w:space="0" w:color="000000"/>
            </w:tcBorders>
          </w:tcPr>
          <w:p w14:paraId="458191AD" w14:textId="77777777" w:rsidR="007B2122" w:rsidRDefault="00851BD2">
            <w:pPr>
              <w:spacing w:after="0" w:line="259" w:lineRule="auto"/>
              <w:ind w:left="0" w:firstLine="0"/>
              <w:jc w:val="left"/>
            </w:pPr>
            <w:r>
              <w:rPr>
                <w:sz w:val="18"/>
              </w:rPr>
              <w:t xml:space="preserve">CRITERIOS DE EVALUACIÓN </w:t>
            </w:r>
          </w:p>
        </w:tc>
      </w:tr>
      <w:tr w:rsidR="007B2122" w14:paraId="5F6689E6" w14:textId="77777777">
        <w:trPr>
          <w:trHeight w:val="1254"/>
        </w:trPr>
        <w:tc>
          <w:tcPr>
            <w:tcW w:w="10596" w:type="dxa"/>
            <w:tcBorders>
              <w:top w:val="single" w:sz="4" w:space="0" w:color="000000"/>
              <w:left w:val="single" w:sz="4" w:space="0" w:color="000000"/>
              <w:bottom w:val="single" w:sz="4" w:space="0" w:color="000000"/>
              <w:right w:val="single" w:sz="4" w:space="0" w:color="000000"/>
            </w:tcBorders>
          </w:tcPr>
          <w:p w14:paraId="25406367" w14:textId="77777777" w:rsidR="007B2122" w:rsidRDefault="00851BD2">
            <w:pPr>
              <w:spacing w:after="8"/>
              <w:ind w:left="360" w:hanging="360"/>
            </w:pPr>
            <w:r>
              <w:rPr>
                <w:sz w:val="18"/>
              </w:rPr>
              <w:t xml:space="preserve">− Utilizar los números reales y sus operaciones  para presentar e intercambiar información, controlando y ajustando el margen de error exigible en cada situación, en situaciones de la vida real.  </w:t>
            </w:r>
          </w:p>
          <w:p w14:paraId="32322822" w14:textId="77777777" w:rsidR="007B2122" w:rsidRDefault="00851BD2">
            <w:pPr>
              <w:spacing w:after="5"/>
              <w:ind w:left="360" w:hanging="360"/>
            </w:pPr>
            <w:r>
              <w:rPr>
                <w:sz w:val="18"/>
              </w:rPr>
              <w:t xml:space="preserve">− Resolver problemas de capitalización y amortización simple y compuesta utilizando parámetros de aritmética mercantil empleando métodos de cálculo o los recursos tecnológicos más adecuados.  </w:t>
            </w:r>
          </w:p>
          <w:p w14:paraId="493A5F4B" w14:textId="77777777" w:rsidR="007B2122" w:rsidRDefault="00851BD2">
            <w:pPr>
              <w:spacing w:after="0" w:line="259" w:lineRule="auto"/>
              <w:ind w:left="360" w:hanging="360"/>
            </w:pPr>
            <w:r>
              <w:rPr>
                <w:sz w:val="18"/>
              </w:rPr>
              <w:t xml:space="preserve">− Transcribir a lenguaje algebraico o gráfico situaciones relativas a las ciencias sociales y utilizar técnicas matemáticas y herramientas tecnológicas apropiadas para resolver problemas reales, dando una interpretación de las soluciones obtenidas en contextos particulares.  </w:t>
            </w:r>
          </w:p>
        </w:tc>
      </w:tr>
      <w:tr w:rsidR="007B2122" w14:paraId="56266DC3" w14:textId="77777777">
        <w:trPr>
          <w:trHeight w:val="216"/>
        </w:trPr>
        <w:tc>
          <w:tcPr>
            <w:tcW w:w="10596" w:type="dxa"/>
            <w:tcBorders>
              <w:top w:val="single" w:sz="4" w:space="0" w:color="000000"/>
              <w:left w:val="single" w:sz="4" w:space="0" w:color="000000"/>
              <w:bottom w:val="single" w:sz="4" w:space="0" w:color="000000"/>
              <w:right w:val="single" w:sz="4" w:space="0" w:color="000000"/>
            </w:tcBorders>
            <w:shd w:val="clear" w:color="auto" w:fill="BFBFBF"/>
          </w:tcPr>
          <w:p w14:paraId="7BC52B98" w14:textId="77777777" w:rsidR="007B2122" w:rsidRDefault="00851BD2">
            <w:pPr>
              <w:spacing w:after="0" w:line="259" w:lineRule="auto"/>
              <w:ind w:left="0" w:right="47" w:firstLine="0"/>
              <w:jc w:val="center"/>
            </w:pPr>
            <w:r>
              <w:rPr>
                <w:sz w:val="18"/>
              </w:rPr>
              <w:t xml:space="preserve">Bloque 3: Funciones. </w:t>
            </w:r>
          </w:p>
        </w:tc>
      </w:tr>
      <w:tr w:rsidR="007B2122" w14:paraId="11241CD4" w14:textId="77777777">
        <w:trPr>
          <w:trHeight w:val="217"/>
        </w:trPr>
        <w:tc>
          <w:tcPr>
            <w:tcW w:w="10596" w:type="dxa"/>
            <w:tcBorders>
              <w:top w:val="single" w:sz="4" w:space="0" w:color="000000"/>
              <w:left w:val="single" w:sz="4" w:space="0" w:color="000000"/>
              <w:bottom w:val="single" w:sz="4" w:space="0" w:color="000000"/>
              <w:right w:val="single" w:sz="4" w:space="0" w:color="000000"/>
            </w:tcBorders>
          </w:tcPr>
          <w:p w14:paraId="1B4DC24F" w14:textId="77777777" w:rsidR="007B2122" w:rsidRDefault="00851BD2">
            <w:pPr>
              <w:spacing w:after="0" w:line="259" w:lineRule="auto"/>
              <w:ind w:left="0" w:firstLine="0"/>
              <w:jc w:val="left"/>
            </w:pPr>
            <w:r>
              <w:rPr>
                <w:sz w:val="18"/>
              </w:rPr>
              <w:t xml:space="preserve">CRITERIOS DE EVALUACIÓN </w:t>
            </w:r>
          </w:p>
        </w:tc>
      </w:tr>
      <w:tr w:rsidR="007B2122" w14:paraId="50C7F388" w14:textId="77777777">
        <w:trPr>
          <w:trHeight w:val="1255"/>
        </w:trPr>
        <w:tc>
          <w:tcPr>
            <w:tcW w:w="10596" w:type="dxa"/>
            <w:tcBorders>
              <w:top w:val="single" w:sz="4" w:space="0" w:color="000000"/>
              <w:left w:val="single" w:sz="4" w:space="0" w:color="000000"/>
              <w:bottom w:val="single" w:sz="4" w:space="0" w:color="000000"/>
              <w:right w:val="single" w:sz="4" w:space="0" w:color="000000"/>
            </w:tcBorders>
          </w:tcPr>
          <w:p w14:paraId="3172B979" w14:textId="77777777" w:rsidR="007B2122" w:rsidRDefault="00851BD2">
            <w:pPr>
              <w:tabs>
                <w:tab w:val="center" w:pos="4997"/>
              </w:tabs>
              <w:spacing w:after="15" w:line="259" w:lineRule="auto"/>
              <w:ind w:left="0" w:firstLine="0"/>
              <w:jc w:val="left"/>
            </w:pPr>
            <w:r>
              <w:rPr>
                <w:sz w:val="18"/>
              </w:rPr>
              <w:lastRenderedPageBreak/>
              <w:t xml:space="preserve">− </w:t>
            </w:r>
            <w:r>
              <w:rPr>
                <w:sz w:val="18"/>
              </w:rPr>
              <w:tab/>
              <w:t xml:space="preserve">Interpretar y representar gráficas de funciones reales teniendo en cuenta sus características y su relación con fenómenos sociales.  </w:t>
            </w:r>
          </w:p>
          <w:p w14:paraId="1942233D" w14:textId="77777777" w:rsidR="007B2122" w:rsidRDefault="00851BD2">
            <w:pPr>
              <w:tabs>
                <w:tab w:val="center" w:pos="3891"/>
              </w:tabs>
              <w:spacing w:after="12" w:line="259" w:lineRule="auto"/>
              <w:ind w:left="0" w:firstLine="0"/>
              <w:jc w:val="left"/>
            </w:pPr>
            <w:r>
              <w:rPr>
                <w:sz w:val="18"/>
              </w:rPr>
              <w:t xml:space="preserve">− </w:t>
            </w:r>
            <w:r>
              <w:rPr>
                <w:sz w:val="18"/>
              </w:rPr>
              <w:tab/>
              <w:t xml:space="preserve">Interpolar y extrapolar valores de funciones a partir de tablas y conocer la utilidad en casos reales.  </w:t>
            </w:r>
          </w:p>
          <w:p w14:paraId="194E8B31" w14:textId="77777777" w:rsidR="007B2122" w:rsidRDefault="00851BD2">
            <w:pPr>
              <w:tabs>
                <w:tab w:val="center" w:pos="4136"/>
              </w:tabs>
              <w:spacing w:after="0" w:line="259" w:lineRule="auto"/>
              <w:ind w:left="0" w:firstLine="0"/>
              <w:jc w:val="left"/>
            </w:pPr>
            <w:r>
              <w:rPr>
                <w:sz w:val="18"/>
              </w:rPr>
              <w:t xml:space="preserve">− </w:t>
            </w:r>
            <w:r>
              <w:rPr>
                <w:sz w:val="18"/>
              </w:rPr>
              <w:tab/>
              <w:t xml:space="preserve">Calcular límites finitos e infinitos de una función en un punto o en el infinito para estimar las tendencias.  </w:t>
            </w:r>
          </w:p>
          <w:p w14:paraId="753E9AD5" w14:textId="77777777" w:rsidR="007B2122" w:rsidRDefault="00851BD2">
            <w:pPr>
              <w:spacing w:after="24"/>
              <w:ind w:left="360" w:hanging="360"/>
            </w:pPr>
            <w:r>
              <w:rPr>
                <w:sz w:val="18"/>
              </w:rPr>
              <w:t xml:space="preserve">− Conocer el concepto de continuidad y estudiar la continuidad en un punto en funciones polinómicas, racionales, logarítmicas y exponenciales.  </w:t>
            </w:r>
          </w:p>
          <w:p w14:paraId="7DC6DAE1" w14:textId="77777777" w:rsidR="007B2122" w:rsidRDefault="00851BD2">
            <w:pPr>
              <w:tabs>
                <w:tab w:val="right" w:pos="10443"/>
              </w:tabs>
              <w:spacing w:after="0" w:line="259" w:lineRule="auto"/>
              <w:ind w:left="0" w:firstLine="0"/>
              <w:jc w:val="left"/>
            </w:pPr>
            <w:r>
              <w:rPr>
                <w:sz w:val="18"/>
              </w:rPr>
              <w:t xml:space="preserve">− </w:t>
            </w:r>
            <w:r>
              <w:rPr>
                <w:sz w:val="18"/>
              </w:rPr>
              <w:tab/>
              <w:t xml:space="preserve">Conocer e interpretar geométricamente la tasa de variación media en un intervalo y en un punto como aproximación al concepto de </w:t>
            </w:r>
          </w:p>
        </w:tc>
      </w:tr>
      <w:tr w:rsidR="007B2122" w14:paraId="3D88F9F9" w14:textId="77777777">
        <w:trPr>
          <w:trHeight w:val="218"/>
        </w:trPr>
        <w:tc>
          <w:tcPr>
            <w:tcW w:w="10596" w:type="dxa"/>
            <w:tcBorders>
              <w:top w:val="single" w:sz="4" w:space="0" w:color="000000"/>
              <w:left w:val="single" w:sz="4" w:space="0" w:color="000000"/>
              <w:bottom w:val="single" w:sz="4" w:space="0" w:color="000000"/>
              <w:right w:val="single" w:sz="4" w:space="0" w:color="000000"/>
            </w:tcBorders>
          </w:tcPr>
          <w:p w14:paraId="21D683BF" w14:textId="77777777" w:rsidR="007B2122" w:rsidRDefault="00851BD2">
            <w:pPr>
              <w:spacing w:after="0" w:line="259" w:lineRule="auto"/>
              <w:ind w:left="360" w:firstLine="0"/>
              <w:jc w:val="left"/>
            </w:pPr>
            <w:r>
              <w:rPr>
                <w:sz w:val="18"/>
              </w:rPr>
              <w:t xml:space="preserve">derivada y utilizar las regla de derivación para obtener la función derivada de funciones sencillas y de sus operaciones.  </w:t>
            </w:r>
          </w:p>
        </w:tc>
      </w:tr>
      <w:tr w:rsidR="007B2122" w14:paraId="250242E3" w14:textId="77777777">
        <w:trPr>
          <w:trHeight w:val="215"/>
        </w:trPr>
        <w:tc>
          <w:tcPr>
            <w:tcW w:w="10596" w:type="dxa"/>
            <w:tcBorders>
              <w:top w:val="single" w:sz="4" w:space="0" w:color="000000"/>
              <w:left w:val="single" w:sz="4" w:space="0" w:color="000000"/>
              <w:bottom w:val="single" w:sz="4" w:space="0" w:color="000000"/>
              <w:right w:val="single" w:sz="4" w:space="0" w:color="000000"/>
            </w:tcBorders>
            <w:shd w:val="clear" w:color="auto" w:fill="BFBFBF"/>
          </w:tcPr>
          <w:p w14:paraId="4AEA9927" w14:textId="77777777" w:rsidR="007B2122" w:rsidRDefault="00851BD2">
            <w:pPr>
              <w:spacing w:after="0" w:line="259" w:lineRule="auto"/>
              <w:ind w:left="0" w:right="46" w:firstLine="0"/>
              <w:jc w:val="center"/>
            </w:pPr>
            <w:r>
              <w:rPr>
                <w:sz w:val="18"/>
              </w:rPr>
              <w:t xml:space="preserve">Bloque 4: Estadística y Probabilidad </w:t>
            </w:r>
          </w:p>
        </w:tc>
      </w:tr>
      <w:tr w:rsidR="007B2122" w14:paraId="66680775" w14:textId="77777777">
        <w:trPr>
          <w:trHeight w:val="217"/>
        </w:trPr>
        <w:tc>
          <w:tcPr>
            <w:tcW w:w="10596" w:type="dxa"/>
            <w:tcBorders>
              <w:top w:val="single" w:sz="4" w:space="0" w:color="000000"/>
              <w:left w:val="single" w:sz="4" w:space="0" w:color="000000"/>
              <w:bottom w:val="single" w:sz="4" w:space="0" w:color="000000"/>
              <w:right w:val="single" w:sz="4" w:space="0" w:color="000000"/>
            </w:tcBorders>
          </w:tcPr>
          <w:p w14:paraId="62CCD082" w14:textId="77777777" w:rsidR="007B2122" w:rsidRDefault="00851BD2">
            <w:pPr>
              <w:spacing w:after="0" w:line="259" w:lineRule="auto"/>
              <w:ind w:left="0" w:firstLine="0"/>
              <w:jc w:val="left"/>
            </w:pPr>
            <w:r>
              <w:rPr>
                <w:sz w:val="18"/>
              </w:rPr>
              <w:t xml:space="preserve">CRITERIOS DE EVALUACIÓN </w:t>
            </w:r>
          </w:p>
        </w:tc>
      </w:tr>
      <w:tr w:rsidR="007B2122" w14:paraId="521FBDCD" w14:textId="77777777">
        <w:trPr>
          <w:trHeight w:val="2914"/>
        </w:trPr>
        <w:tc>
          <w:tcPr>
            <w:tcW w:w="10596" w:type="dxa"/>
            <w:tcBorders>
              <w:top w:val="single" w:sz="4" w:space="0" w:color="000000"/>
              <w:left w:val="single" w:sz="4" w:space="0" w:color="000000"/>
              <w:bottom w:val="single" w:sz="4" w:space="0" w:color="000000"/>
              <w:right w:val="single" w:sz="4" w:space="0" w:color="000000"/>
            </w:tcBorders>
          </w:tcPr>
          <w:p w14:paraId="3FF2F37D" w14:textId="77777777" w:rsidR="007B2122" w:rsidRDefault="00851BD2">
            <w:pPr>
              <w:spacing w:after="9" w:line="245" w:lineRule="auto"/>
              <w:ind w:left="360" w:right="43" w:hanging="360"/>
            </w:pPr>
            <w:r>
              <w:rPr>
                <w:sz w:val="18"/>
              </w:rPr>
              <w:t xml:space="preserve">− Describir y comparar conjuntos de datos de distribuciones bidimensionales, con variables discretas o continuas, procedentes de contextos relacionados con la economía y otros fenómenos sociales y obtener los parámetros estadísticos más usuales mediante los medios más adecuados (lápiz y papel, calculadora, hoja de cálculo) y valorando la dependencia entre las variables.  </w:t>
            </w:r>
          </w:p>
          <w:p w14:paraId="6673D009" w14:textId="77777777" w:rsidR="007B2122" w:rsidRDefault="00851BD2">
            <w:pPr>
              <w:spacing w:after="12" w:line="245" w:lineRule="auto"/>
              <w:ind w:left="360" w:right="45" w:hanging="360"/>
            </w:pPr>
            <w:r>
              <w:rPr>
                <w:sz w:val="18"/>
              </w:rPr>
              <w:t xml:space="preserve">− Interpretar la posible relación entre dos variables y cuantificar la relación lineal entre ellas mediante el coeficiente de correlación, valorando la pertinencia de ajustar una recta de regresión y de realizar predicciones a partir de ella, evaluando la fiabilidad de las mismas en un contexto de resolución de problemas relacionados con fenómenos económicos y sociales. </w:t>
            </w:r>
          </w:p>
          <w:p w14:paraId="0400CA02" w14:textId="77777777" w:rsidR="007B2122" w:rsidRDefault="00851BD2">
            <w:pPr>
              <w:spacing w:after="13" w:line="243" w:lineRule="auto"/>
              <w:ind w:left="360" w:right="43" w:hanging="360"/>
            </w:pPr>
            <w:r>
              <w:rPr>
                <w:sz w:val="18"/>
              </w:rPr>
              <w:t xml:space="preserve">− Asignar probabilidades a sucesos aleatorios en experimentos simples y compuestos, utilizando la regla de Laplace en combinación con diferentes técnicas de recuento y la axiomática de la probabilidad, empleando los resultados numéricos obtenidos en la toma de decisiones en contextos relacionados con las ciencias sociales.  </w:t>
            </w:r>
          </w:p>
          <w:p w14:paraId="2D524EF2" w14:textId="77777777" w:rsidR="007B2122" w:rsidRDefault="00851BD2">
            <w:pPr>
              <w:spacing w:after="5"/>
              <w:ind w:left="360" w:hanging="360"/>
            </w:pPr>
            <w:r>
              <w:rPr>
                <w:sz w:val="18"/>
              </w:rPr>
              <w:t xml:space="preserve">− Identificar los fenómenos que pueden modelizarse mediante las distribuciones de probabilidad binomial y normal calculando sus parámetros y determinando la probabilidad de diferentes sucesos asociados.  </w:t>
            </w:r>
          </w:p>
          <w:p w14:paraId="49AB77CD" w14:textId="77777777" w:rsidR="007B2122" w:rsidRDefault="00851BD2">
            <w:pPr>
              <w:spacing w:after="0" w:line="259" w:lineRule="auto"/>
              <w:ind w:left="360" w:right="42" w:hanging="360"/>
            </w:pPr>
            <w:r>
              <w:rPr>
                <w:sz w:val="18"/>
              </w:rPr>
              <w:t xml:space="preserve">− Utilizar el vocabulario adecuado para la descripción de situaciones relacionadas con el azar y la estadística, analizando un conjunto de datos o interpretando de forma crítica informaciones estadísticas presentes en los medios de comunicación, la publicidad y otros ámbitos, detectando posibles errores y manipulaciones tanto en la presentación de los datos como de las conclusiones.  </w:t>
            </w:r>
          </w:p>
        </w:tc>
      </w:tr>
    </w:tbl>
    <w:p w14:paraId="26C14282" w14:textId="77777777" w:rsidR="007B2122" w:rsidRDefault="00851BD2">
      <w:pPr>
        <w:ind w:left="13" w:right="-11"/>
      </w:pPr>
      <w:r>
        <w:t xml:space="preserve">Las especificaciones de los anteriores criterios de evaluación, esto es, los estándares de aprendizaje evaluables, pueden ser consultados en el anexo II del Decreto n.º 221/2015, de 2 de septiembre de 2015, por el que se establece el currículo del Bachillerato en la Comunidad Autónoma de la Región de Murcia. </w:t>
      </w:r>
    </w:p>
    <w:p w14:paraId="5F213151" w14:textId="77777777" w:rsidR="007B2122" w:rsidRDefault="00851BD2">
      <w:pPr>
        <w:spacing w:after="9"/>
        <w:ind w:left="13" w:right="-11"/>
      </w:pPr>
      <w:r>
        <w:t xml:space="preserve">LA CALIFICACIÓN EN CADA EVALUACIÓN, concebida como la forma de resumir el progreso alcanzado por el alumno se realizará de acuerdo con la aplicación de los siguientes criterios: </w:t>
      </w:r>
    </w:p>
    <w:tbl>
      <w:tblPr>
        <w:tblStyle w:val="TableGrid"/>
        <w:tblW w:w="10490" w:type="dxa"/>
        <w:tblInd w:w="6" w:type="dxa"/>
        <w:tblCellMar>
          <w:top w:w="47" w:type="dxa"/>
          <w:left w:w="151" w:type="dxa"/>
          <w:right w:w="103" w:type="dxa"/>
        </w:tblCellMar>
        <w:tblLook w:val="04A0" w:firstRow="1" w:lastRow="0" w:firstColumn="1" w:lastColumn="0" w:noHBand="0" w:noVBand="1"/>
      </w:tblPr>
      <w:tblGrid>
        <w:gridCol w:w="3132"/>
        <w:gridCol w:w="4536"/>
        <w:gridCol w:w="2822"/>
      </w:tblGrid>
      <w:tr w:rsidR="007B2122" w14:paraId="6C87B528" w14:textId="77777777">
        <w:trPr>
          <w:trHeight w:val="240"/>
        </w:trPr>
        <w:tc>
          <w:tcPr>
            <w:tcW w:w="3132" w:type="dxa"/>
            <w:tcBorders>
              <w:top w:val="single" w:sz="4" w:space="0" w:color="000000"/>
              <w:left w:val="single" w:sz="4" w:space="0" w:color="000000"/>
              <w:bottom w:val="single" w:sz="4" w:space="0" w:color="000000"/>
              <w:right w:val="single" w:sz="4" w:space="0" w:color="000000"/>
            </w:tcBorders>
          </w:tcPr>
          <w:p w14:paraId="176DE431" w14:textId="77777777" w:rsidR="007B2122" w:rsidRDefault="00851BD2">
            <w:pPr>
              <w:spacing w:after="0" w:line="259" w:lineRule="auto"/>
              <w:ind w:left="60" w:firstLine="0"/>
              <w:jc w:val="left"/>
            </w:pPr>
            <w:r>
              <w:t xml:space="preserve">CRITERIOS DE EVALUACIÓN </w:t>
            </w:r>
          </w:p>
        </w:tc>
        <w:tc>
          <w:tcPr>
            <w:tcW w:w="4536" w:type="dxa"/>
            <w:tcBorders>
              <w:top w:val="single" w:sz="4" w:space="0" w:color="000000"/>
              <w:left w:val="single" w:sz="4" w:space="0" w:color="000000"/>
              <w:bottom w:val="single" w:sz="4" w:space="0" w:color="000000"/>
              <w:right w:val="single" w:sz="4" w:space="0" w:color="000000"/>
            </w:tcBorders>
          </w:tcPr>
          <w:p w14:paraId="6DD7F7A0" w14:textId="77777777" w:rsidR="007B2122" w:rsidRDefault="00851BD2">
            <w:pPr>
              <w:spacing w:after="0" w:line="259" w:lineRule="auto"/>
              <w:ind w:left="0" w:right="52" w:firstLine="0"/>
              <w:jc w:val="center"/>
            </w:pPr>
            <w:r>
              <w:t xml:space="preserve">INSTRUMENTOS DE EVALUACIÓN </w:t>
            </w:r>
          </w:p>
        </w:tc>
        <w:tc>
          <w:tcPr>
            <w:tcW w:w="2822" w:type="dxa"/>
            <w:tcBorders>
              <w:top w:val="single" w:sz="4" w:space="0" w:color="000000"/>
              <w:left w:val="single" w:sz="4" w:space="0" w:color="000000"/>
              <w:bottom w:val="single" w:sz="4" w:space="0" w:color="000000"/>
              <w:right w:val="single" w:sz="4" w:space="0" w:color="000000"/>
            </w:tcBorders>
          </w:tcPr>
          <w:p w14:paraId="1143AE70" w14:textId="77777777" w:rsidR="007B2122" w:rsidRDefault="00851BD2">
            <w:pPr>
              <w:spacing w:after="0" w:line="259" w:lineRule="auto"/>
              <w:ind w:left="0" w:right="52" w:firstLine="0"/>
              <w:jc w:val="center"/>
            </w:pPr>
            <w:r>
              <w:t xml:space="preserve">PONDERACIÓN </w:t>
            </w:r>
          </w:p>
        </w:tc>
      </w:tr>
      <w:tr w:rsidR="007B2122" w14:paraId="16F1D28E" w14:textId="77777777">
        <w:trPr>
          <w:trHeight w:val="701"/>
        </w:trPr>
        <w:tc>
          <w:tcPr>
            <w:tcW w:w="3132" w:type="dxa"/>
            <w:tcBorders>
              <w:top w:val="single" w:sz="4" w:space="0" w:color="000000"/>
              <w:left w:val="single" w:sz="4" w:space="0" w:color="000000"/>
              <w:bottom w:val="single" w:sz="4" w:space="0" w:color="000000"/>
              <w:right w:val="single" w:sz="4" w:space="0" w:color="000000"/>
            </w:tcBorders>
            <w:vAlign w:val="center"/>
          </w:tcPr>
          <w:p w14:paraId="2D3DC1C2" w14:textId="77777777" w:rsidR="007B2122" w:rsidRDefault="00851BD2">
            <w:pPr>
              <w:spacing w:after="0" w:line="259" w:lineRule="auto"/>
              <w:ind w:left="0" w:right="53" w:firstLine="0"/>
              <w:jc w:val="center"/>
            </w:pPr>
            <w:r>
              <w:t xml:space="preserve">Del Bloque 1 de contenidos </w:t>
            </w:r>
          </w:p>
        </w:tc>
        <w:tc>
          <w:tcPr>
            <w:tcW w:w="4536" w:type="dxa"/>
            <w:tcBorders>
              <w:top w:val="single" w:sz="4" w:space="0" w:color="000000"/>
              <w:left w:val="single" w:sz="4" w:space="0" w:color="000000"/>
              <w:bottom w:val="single" w:sz="4" w:space="0" w:color="000000"/>
              <w:right w:val="single" w:sz="4" w:space="0" w:color="000000"/>
            </w:tcBorders>
          </w:tcPr>
          <w:p w14:paraId="353EFDA1" w14:textId="77777777" w:rsidR="007B2122" w:rsidRDefault="00851BD2">
            <w:pPr>
              <w:spacing w:after="0" w:line="259" w:lineRule="auto"/>
              <w:ind w:left="0" w:right="54" w:firstLine="0"/>
              <w:jc w:val="center"/>
            </w:pPr>
            <w:r>
              <w:t xml:space="preserve">Producciones e intervenciones </w:t>
            </w:r>
          </w:p>
          <w:p w14:paraId="4C94CE46" w14:textId="77777777" w:rsidR="007B2122" w:rsidRDefault="00851BD2">
            <w:pPr>
              <w:spacing w:after="0" w:line="259" w:lineRule="auto"/>
              <w:ind w:left="0" w:firstLine="0"/>
              <w:jc w:val="center"/>
            </w:pPr>
            <w:r>
              <w:t xml:space="preserve">(Investigaciones, Trabajos, Tertulias, Preguntas orales,…) </w:t>
            </w:r>
          </w:p>
        </w:tc>
        <w:tc>
          <w:tcPr>
            <w:tcW w:w="2822" w:type="dxa"/>
            <w:tcBorders>
              <w:top w:val="single" w:sz="4" w:space="0" w:color="000000"/>
              <w:left w:val="single" w:sz="4" w:space="0" w:color="000000"/>
              <w:bottom w:val="single" w:sz="4" w:space="0" w:color="000000"/>
              <w:right w:val="single" w:sz="4" w:space="0" w:color="000000"/>
            </w:tcBorders>
            <w:vAlign w:val="center"/>
          </w:tcPr>
          <w:p w14:paraId="03BA2388" w14:textId="63A2061D" w:rsidR="007B2122" w:rsidRDefault="00851BD2">
            <w:pPr>
              <w:spacing w:after="0" w:line="259" w:lineRule="auto"/>
              <w:ind w:left="0" w:right="50" w:firstLine="0"/>
              <w:jc w:val="center"/>
            </w:pPr>
            <w:r>
              <w:t xml:space="preserve">10% </w:t>
            </w:r>
          </w:p>
        </w:tc>
      </w:tr>
      <w:tr w:rsidR="007B2122" w14:paraId="0FEE900D" w14:textId="77777777">
        <w:trPr>
          <w:trHeight w:val="470"/>
        </w:trPr>
        <w:tc>
          <w:tcPr>
            <w:tcW w:w="3132" w:type="dxa"/>
            <w:tcBorders>
              <w:top w:val="single" w:sz="4" w:space="0" w:color="000000"/>
              <w:left w:val="single" w:sz="4" w:space="0" w:color="000000"/>
              <w:bottom w:val="single" w:sz="4" w:space="0" w:color="000000"/>
              <w:right w:val="single" w:sz="4" w:space="0" w:color="000000"/>
            </w:tcBorders>
            <w:vAlign w:val="center"/>
          </w:tcPr>
          <w:p w14:paraId="56274343" w14:textId="77777777" w:rsidR="007B2122" w:rsidRDefault="00851BD2">
            <w:pPr>
              <w:spacing w:after="0" w:line="259" w:lineRule="auto"/>
              <w:ind w:left="0" w:firstLine="0"/>
              <w:jc w:val="left"/>
            </w:pPr>
            <w:r>
              <w:t xml:space="preserve">Del resto de Bloques de contenidos </w:t>
            </w:r>
          </w:p>
        </w:tc>
        <w:tc>
          <w:tcPr>
            <w:tcW w:w="4536" w:type="dxa"/>
            <w:tcBorders>
              <w:top w:val="single" w:sz="4" w:space="0" w:color="000000"/>
              <w:left w:val="single" w:sz="4" w:space="0" w:color="000000"/>
              <w:bottom w:val="single" w:sz="4" w:space="0" w:color="000000"/>
              <w:right w:val="single" w:sz="4" w:space="0" w:color="000000"/>
            </w:tcBorders>
          </w:tcPr>
          <w:p w14:paraId="3B4C4B97" w14:textId="77777777" w:rsidR="007B2122" w:rsidRDefault="00851BD2">
            <w:pPr>
              <w:spacing w:after="0" w:line="259" w:lineRule="auto"/>
              <w:ind w:left="295" w:right="298" w:firstLine="0"/>
              <w:jc w:val="center"/>
            </w:pPr>
            <w:r>
              <w:t xml:space="preserve">Pruebas específicas de conocimiento (Pruebas escritas) </w:t>
            </w:r>
          </w:p>
        </w:tc>
        <w:tc>
          <w:tcPr>
            <w:tcW w:w="2822" w:type="dxa"/>
            <w:tcBorders>
              <w:top w:val="single" w:sz="4" w:space="0" w:color="000000"/>
              <w:left w:val="single" w:sz="4" w:space="0" w:color="000000"/>
              <w:bottom w:val="single" w:sz="4" w:space="0" w:color="000000"/>
              <w:right w:val="single" w:sz="4" w:space="0" w:color="000000"/>
            </w:tcBorders>
            <w:vAlign w:val="center"/>
          </w:tcPr>
          <w:p w14:paraId="78FCA90F" w14:textId="55395D32" w:rsidR="007B2122" w:rsidRDefault="00851BD2">
            <w:pPr>
              <w:spacing w:after="0" w:line="259" w:lineRule="auto"/>
              <w:ind w:left="0" w:right="50" w:firstLine="0"/>
              <w:jc w:val="center"/>
            </w:pPr>
            <w:r>
              <w:t xml:space="preserve">90% </w:t>
            </w:r>
          </w:p>
        </w:tc>
      </w:tr>
    </w:tbl>
    <w:p w14:paraId="4E18EFE7" w14:textId="1D453443" w:rsidR="007B2122" w:rsidRDefault="00851BD2">
      <w:pPr>
        <w:ind w:left="13" w:right="-11"/>
      </w:pPr>
      <w:r>
        <w:t>Observar que la ponderación del 90% se aplicará sobre la media ponderada de las notas obtenidas en las diversas pruebas que se han realizado durante la evaluación.</w:t>
      </w:r>
      <w:r>
        <w:rPr>
          <w:sz w:val="22"/>
        </w:rPr>
        <w:t xml:space="preserve"> </w:t>
      </w:r>
    </w:p>
    <w:p w14:paraId="2DB85F10" w14:textId="2CDCB751" w:rsidR="007B2122" w:rsidRDefault="00851BD2">
      <w:pPr>
        <w:ind w:left="13" w:right="-11"/>
      </w:pPr>
      <w:r>
        <w:t xml:space="preserve">Una vez calculada la media ponderada con los criterios que se reflejan en la tabla, se procederá al truncamiento para expresar los resultados de la evaluación mediante una calificación numérica, en una escala de uno a diez, que irá acompañada de los siguientes términos: Insuficiente (IN), para calificaciones del 1 al 4, Suficiente (SU), para la calificación de 5, Bien (BI), para 6 Notable (NT), para 7 y 8, o Sobresaliente (SB), para 9 y 10. Se considerarán negativas las calificaciones inferiores a cinco. </w:t>
      </w:r>
    </w:p>
    <w:p w14:paraId="1523C31B" w14:textId="77777777" w:rsidR="007B2122" w:rsidRDefault="00851BD2">
      <w:pPr>
        <w:ind w:left="13" w:right="-11"/>
      </w:pPr>
      <w:r>
        <w:t xml:space="preserve">En caso de evaluación negativa se establecerá una recuperación para cada una de las dos primeras evaluaciones, al finalizar dichas evaluaciones. A esta recuperación se podrán presentar también aquellos alumnos que deseen mejorar su nota.  </w:t>
      </w:r>
    </w:p>
    <w:p w14:paraId="395C53B1" w14:textId="77777777" w:rsidR="00580EC5" w:rsidRDefault="00580EC5" w:rsidP="00580EC5">
      <w:r>
        <w:t xml:space="preserve">Para obtener LA CALIFICACIÓN FINAL del curso, el profesor de la materia redondeará la media aritmética de las calificaciones de las tres evaluaciones incluidas las recuperaciones (notas originales antes de aplicar el truncamiento para el boletín). En caso de no llegar al 5 se tendrán que presentar a una prueba final. Si sólo tiene una evaluación suspensa, pero no le da la media aprobada, se presentará sólo a la evaluación suspendida. En caso contrario se presentará a todo. </w:t>
      </w:r>
    </w:p>
    <w:p w14:paraId="68DD2856" w14:textId="77777777" w:rsidR="007B2122" w:rsidRDefault="00851BD2">
      <w:pPr>
        <w:spacing w:after="0"/>
        <w:ind w:left="13" w:right="-11"/>
      </w:pPr>
      <w:r>
        <w:t xml:space="preserve">Si, pese a todo, dicha calificación resultara negativa, aún podrá optar a superar la materia realizando una PRUEBA EXTRAORDINARIA EN SEPTIEMBRE. Para preparar dicha prueba se recomendará la realización de una serie de actividades de repaso. Estas actividades contarán un 10% de la nota y el 90% corresponderá a la prueba escrita.  . Las recomendaciones que el departamento de Matemáticas ofrece para enfrentarse a la prueba se adjuntarán al boletín de notas de junio o se pondrán en el </w:t>
      </w:r>
      <w:proofErr w:type="spellStart"/>
      <w:r>
        <w:t>Classroom</w:t>
      </w:r>
      <w:proofErr w:type="spellEnd"/>
      <w:r>
        <w:t xml:space="preserve"> del grupo. </w:t>
      </w:r>
    </w:p>
    <w:p w14:paraId="105F3FFA" w14:textId="77777777" w:rsidR="00851BD2" w:rsidRDefault="00851BD2" w:rsidP="00851BD2">
      <w:pPr>
        <w:spacing w:after="187"/>
        <w:ind w:left="-5"/>
      </w:pPr>
      <w:r>
        <w:t xml:space="preserve">Para que un alumno pueda obtener una Mención de Honor, el departamento de Matemáticas determina como criterio necesario el haber obtenido una media igual o superior a 9 en las tres evaluaciones.  </w:t>
      </w:r>
    </w:p>
    <w:p w14:paraId="3DFC7641" w14:textId="77777777" w:rsidR="007B2122" w:rsidRDefault="00851BD2">
      <w:pPr>
        <w:spacing w:after="0" w:line="259" w:lineRule="auto"/>
        <w:ind w:left="18" w:firstLine="0"/>
        <w:jc w:val="left"/>
      </w:pPr>
      <w:r>
        <w:rPr>
          <w:sz w:val="18"/>
        </w:rPr>
        <w:t xml:space="preserve"> </w:t>
      </w:r>
    </w:p>
    <w:p w14:paraId="19515F0D" w14:textId="77777777" w:rsidR="007B2122" w:rsidRDefault="00851BD2">
      <w:pPr>
        <w:spacing w:after="0" w:line="238" w:lineRule="auto"/>
        <w:ind w:left="18" w:firstLine="0"/>
      </w:pPr>
      <w:r>
        <w:rPr>
          <w:sz w:val="18"/>
        </w:rPr>
        <w:t xml:space="preserve">LA INFORMACIÓN QUE FIGURA EN ESTE DOCUMENTO SE HA EXTRAÍDO DE LA PROGRAMACIÓN DIDÁCTICA DE LA ASIGNATURA DE MATEMÁTICAS APLICADAS A LAS CIENCIAS SOCIALES I, DE 1º DE BACHILLERATO EN LO RELATIVO A EVALUACIÓN Y CALIFICACIÓN. EXISTIRÁN COPIAS DEL MISMO EN TODAS LAS AULAS DE MATEMÁTICAS Y EN JEFATURA DE ESTUDIOS PARA QUE CUALQUIER MIEMBRO DE LA COMUNIDAD EDUCATIVA TENGA ACCESO A LA INFORMACIÓN EN TODO MOMENTO.  </w:t>
      </w:r>
    </w:p>
    <w:sectPr w:rsidR="007B2122">
      <w:pgSz w:w="11906" w:h="16838"/>
      <w:pgMar w:top="725" w:right="717" w:bottom="931" w:left="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122"/>
    <w:rsid w:val="00580EC5"/>
    <w:rsid w:val="007B2122"/>
    <w:rsid w:val="00851B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B5326"/>
  <w15:docId w15:val="{7735C6B2-78EF-480A-AFC7-9967B961F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2" w:line="249" w:lineRule="auto"/>
      <w:ind w:left="28"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qFormat/>
    <w:pPr>
      <w:keepNext/>
      <w:keepLines/>
      <w:spacing w:after="0"/>
      <w:ind w:left="198"/>
      <w:outlineLvl w:val="0"/>
    </w:pPr>
    <w:rPr>
      <w:rFonts w:ascii="Times New Roman" w:eastAsia="Times New Roman" w:hAnsi="Times New Roman" w:cs="Times New Roman"/>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326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1705</Words>
  <Characters>9379</Characters>
  <Application>Microsoft Office Word</Application>
  <DocSecurity>0</DocSecurity>
  <Lines>78</Lines>
  <Paragraphs>22</Paragraphs>
  <ScaleCrop>false</ScaleCrop>
  <Company/>
  <LinksUpToDate>false</LinksUpToDate>
  <CharactersWithSpaces>11062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- 1º BAC CCSS</dc:title>
  <dc:subject/>
  <dc:creator>User</dc:creator>
  <cp:keywords/>
  <cp:lastModifiedBy>Profesor</cp:lastModifiedBy>
  <cp:revision>3</cp:revision>
  <dcterms:created xsi:type="dcterms:W3CDTF">2021-11-03T08:37:00Z</dcterms:created>
  <dcterms:modified xsi:type="dcterms:W3CDTF">2021-11-03T08:50:00Z</dcterms:modified>
</cp:coreProperties>
</file>